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B0" w:rsidRPr="00F436B0" w:rsidRDefault="00F436B0" w:rsidP="00F436B0">
      <w:pPr>
        <w:spacing w:before="105" w:after="0" w:line="240" w:lineRule="auto"/>
        <w:jc w:val="center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b/>
          <w:bCs/>
          <w:color w:val="292420"/>
          <w:sz w:val="28"/>
          <w:szCs w:val="28"/>
          <w:lang w:eastAsia="ru-RU"/>
        </w:rPr>
        <w:t xml:space="preserve">Тематика выпускных квалификационных  работ </w:t>
      </w:r>
    </w:p>
    <w:p w:rsidR="00F436B0" w:rsidRPr="00F436B0" w:rsidRDefault="00F436B0" w:rsidP="00F436B0">
      <w:pPr>
        <w:spacing w:before="105" w:after="120" w:line="240" w:lineRule="auto"/>
        <w:jc w:val="center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bookmarkStart w:id="0" w:name="_GoBack"/>
      <w:bookmarkEnd w:id="0"/>
      <w:r w:rsidRPr="00F436B0">
        <w:rPr>
          <w:rFonts w:ascii="Tahoma" w:eastAsia="Times New Roman" w:hAnsi="Tahoma" w:cs="Tahoma"/>
          <w:color w:val="292420"/>
          <w:sz w:val="18"/>
          <w:szCs w:val="18"/>
          <w:lang w:eastAsia="ru-RU"/>
        </w:rPr>
        <w:t> </w:t>
      </w:r>
    </w:p>
    <w:p w:rsidR="00F436B0" w:rsidRPr="00F436B0" w:rsidRDefault="00F436B0" w:rsidP="00F436B0">
      <w:pPr>
        <w:spacing w:after="120" w:line="240" w:lineRule="auto"/>
        <w:jc w:val="center"/>
        <w:rPr>
          <w:rFonts w:ascii="Tahoma" w:eastAsia="Times New Roman" w:hAnsi="Tahoma" w:cs="Tahoma"/>
          <w:color w:val="292420"/>
          <w:sz w:val="20"/>
          <w:szCs w:val="18"/>
          <w:lang w:eastAsia="ru-RU"/>
        </w:rPr>
      </w:pPr>
      <w:r w:rsidRPr="00F436B0">
        <w:rPr>
          <w:rFonts w:ascii="Tahoma" w:eastAsia="Times New Roman" w:hAnsi="Tahoma" w:cs="Tahoma"/>
          <w:b/>
          <w:bCs/>
          <w:color w:val="292420"/>
          <w:sz w:val="32"/>
          <w:szCs w:val="28"/>
          <w:u w:val="single"/>
          <w:lang w:eastAsia="ru-RU"/>
        </w:rPr>
        <w:t>государственно-правовая специализация</w:t>
      </w:r>
    </w:p>
    <w:p w:rsidR="00F436B0" w:rsidRPr="00F436B0" w:rsidRDefault="00F436B0" w:rsidP="00F436B0">
      <w:pPr>
        <w:spacing w:before="105" w:line="240" w:lineRule="auto"/>
        <w:jc w:val="center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(кафедра</w:t>
      </w:r>
      <w:r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 государственно-правовых дисциплин; руководители </w:t>
      </w:r>
      <w:proofErr w:type="spellStart"/>
      <w:r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к.и.н</w:t>
      </w:r>
      <w:proofErr w:type="spellEnd"/>
      <w:r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., </w:t>
      </w:r>
      <w:r w:rsidR="00B6316C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профессор</w:t>
      </w:r>
      <w:r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 Дорохов Н.И., </w:t>
      </w:r>
      <w:proofErr w:type="spellStart"/>
      <w:r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к.и.н</w:t>
      </w:r>
      <w:proofErr w:type="spellEnd"/>
      <w:r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., доцент Власова М.В.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)</w:t>
      </w:r>
    </w:p>
    <w:p w:rsidR="00F436B0" w:rsidRPr="00F436B0" w:rsidRDefault="00F436B0" w:rsidP="00F436B0">
      <w:pPr>
        <w:spacing w:before="105" w:line="240" w:lineRule="auto"/>
        <w:jc w:val="center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b/>
          <w:bCs/>
          <w:color w:val="292420"/>
          <w:sz w:val="28"/>
          <w:szCs w:val="28"/>
          <w:lang w:eastAsia="ru-RU"/>
        </w:rPr>
        <w:t>Защита прав человека органами власти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Конституция 1993 года – конституция прав человека.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Европейская Конвенция по защите прав и основных свобод и ее применение 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3.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Система органов российского государства по защите </w:t>
      </w:r>
      <w:proofErr w:type="spellStart"/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птрав</w:t>
      </w:r>
      <w:proofErr w:type="spellEnd"/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 человека.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4.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Деятельность Президента Российской Федерации как гаранта прав человека.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Конституционные ограничения прав и свобод граждан 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6.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Международные механизмы защиты прав человека.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7.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Принцип равенства перед законом и судом 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8.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Основные направления реформы судебной власти в России.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9.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Судебная защита прав человека в России.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10.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Обращения граждан Российской Федерации: понятие, виды, законодательное регулирование.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11.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Деятельность профсоюзов по защите прав трудящихся.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12.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Неправительственные организации в России по защите прав человека.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13.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Уполномоченный по правам человека в Российской Федерации: правовой статус и основные направления деятельности.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14.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Деятельность Европейского Суда по правам человека.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Конституционные гарантии права на жизнь.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16.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Реализация конституционного принципа равенства прав человека в России. 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17.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Конституционный принцип равенства прав мужчины и женщины: проблемы реализации.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lastRenderedPageBreak/>
        <w:t>18.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Практика органов конституционной юстиции субъектов Российской Федерации по защите прав граждан.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19.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Защита прав человека в деятельности Конституционного Суда РФ.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20.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Регулирование прав человека в странах СНГ: сравнительный анализ. 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21.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Система защиты прав человека в субъектах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22.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Конституционное право граждан Российской Федерации на защиту своих прав.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23.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Правозащитная функция прокуратуры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24.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Роль суда присяжных в защите прав человека и гражданина в России.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Защита прав человека органами местного самоуправления в России.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26.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Равенство прав российских граждан независимо их от места жительства.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27.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Личные права и свободы человека в конституциях (уставах) субъектов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28.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Политические права и свободы российских граждан в конституциях (уставах) субъектов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29.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Экономические и социальные права и свободы российских граждан в конституциях (уставах) субъектов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30.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Правовое положение национальных меньшинств в субъектах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31.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Проблемы и перспективы становления конституционной юстиции в субъектах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32.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Институт Уполномоченного по правам человека в субъектах Российской Федерации: проблемы становления и развития.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33.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Территориальная организация местного самоуправления в субъектах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34.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Взаимодействие органов местного самоуправления с органами государственной власти субъектов Российской Федерации в гуманитарной сфере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35.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Право на охрану здоровья и его практическая реализация в России. 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lastRenderedPageBreak/>
        <w:t>36.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Защита трудовых прав.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3</w:t>
      </w:r>
      <w:r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7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Генезис идей прав человека и правового государства.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38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Конституционные права лиц, подозреваемых и обвиняемых в совершении преступления.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39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Правовое регулирование деятельности общественных объединений.</w:t>
      </w:r>
    </w:p>
    <w:p w:rsidR="00F436B0" w:rsidRPr="00F436B0" w:rsidRDefault="00F436B0" w:rsidP="00F436B0">
      <w:pPr>
        <w:spacing w:before="105" w:after="120" w:line="240" w:lineRule="auto"/>
        <w:jc w:val="center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b/>
          <w:bCs/>
          <w:color w:val="292420"/>
          <w:sz w:val="18"/>
          <w:szCs w:val="18"/>
          <w:lang w:eastAsia="ru-RU"/>
        </w:rPr>
        <w:t> </w:t>
      </w:r>
    </w:p>
    <w:p w:rsidR="00F436B0" w:rsidRPr="00F436B0" w:rsidRDefault="00F436B0" w:rsidP="00F436B0">
      <w:pPr>
        <w:spacing w:before="105" w:after="120" w:line="240" w:lineRule="auto"/>
        <w:jc w:val="center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b/>
          <w:bCs/>
          <w:color w:val="292420"/>
          <w:sz w:val="28"/>
          <w:szCs w:val="28"/>
          <w:lang w:eastAsia="ru-RU"/>
        </w:rPr>
        <w:t>Актуальные вопросы конституционного права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41.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Изменение конституции РФ 1993 г.: теория и практика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42.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Доклад Совета Федерации Федерального Собрания о состоянии законодательства в Российской Федерации: цели, задачи, процедура проблемы.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43.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Ежегодное послание Президента РФ как политико-правовой акт, определяющий стратегию развития государства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44.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Бюджетное послание Президента РФ Федеральному Собранию – документ, определяющий бюджетную политику РФ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45.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Конституционно-правовые основы взаимодействия Президента РФ с федеральными органами государственной власти в гуманитарной сфере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46.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Полномочия Президента РФ по обеспечению суверенитета, государственной целостности и независимости Российского государства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47.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Полномочия Президента РФ по формированию и функционированию системы органов государственной власти в Российской Федерации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48.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Полномочия Президента РФ в области индивидуального статуса личности согласно ст. 93 Конституции РФ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49.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Президент РФ и органы исполнительной власти: проблемы взаимоотношений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50.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Проблемы конституционно-правовой ответственности главы Российского государства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51.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Конституционно-правовое регулирование становления, развития и современного состояния института президентуры в России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52.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Роль Администрации Президента РФ, совещательных и консультативных органов при Президенте РФ в обеспечении конституционных полномочий главы Российского государства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lastRenderedPageBreak/>
        <w:t>53.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Институт полномочных представителей Президента РФ: становление, правовое регулирование, современное состояние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54.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Указное правотворчество Президента РФ: история и современность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55.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proofErr w:type="gramStart"/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Конституционно-правовая</w:t>
      </w:r>
      <w:proofErr w:type="gramEnd"/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 ответственности: понятие, особенности, место в системе видов юридической ответственности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56.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Конституционно-правовые основы функционирования судебной власти в российской Федерации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57.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Конституционные ценности: понятие, признаки, система, реализация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58.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Конституционные принципы и ценности: проблемы соотношения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59.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Федеральное Собрание и Правительство РФ: проблемы взаимодействия и взаимной ответственности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60.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Роль государства в обеспечении функционирования и развития малого предпринимательства в России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61.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Конституционно-правовые основы функционирования политических партий в России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62.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Конституционно-правовые основы многопартийности и политического плюрализма в современной России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63.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Конституционно-правовые основы развития избирательного права 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64.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Российский референдум: история, конституционно-правовое регулирование, процедура реализации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65.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Роль выборов и референдума в обеспечении прямого народовластия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66.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Формы прямого народовластия: народная правотворческая инициатива, собрания, сходы граждан и иные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67.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Институт федерального вмешательства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68.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Проблемы разграничения предметов ведения и полномочий в Российской Федерации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69.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Договорный способ разграничения предметов ведения и полномочий в РФ: история и современность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70.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Изменение субъектного состава Российской Федерации: теория и практика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lastRenderedPageBreak/>
        <w:t>71.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Конституционно-правовые основы построения местного самоуправления в России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72.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Функция Президента РФ по определению основных направлений внутренней и внешней политики Российского государства (на примере Стратегии 2020)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73.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Значение государственных концепций и доктрин в развитии современной России</w:t>
      </w:r>
    </w:p>
    <w:p w:rsidR="00F436B0" w:rsidRPr="00F436B0" w:rsidRDefault="00F436B0" w:rsidP="00F436B0">
      <w:pPr>
        <w:spacing w:before="105" w:after="120" w:line="240" w:lineRule="auto"/>
        <w:jc w:val="center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b/>
          <w:bCs/>
          <w:color w:val="292420"/>
          <w:sz w:val="18"/>
          <w:szCs w:val="18"/>
          <w:lang w:eastAsia="ru-RU"/>
        </w:rPr>
        <w:t> </w:t>
      </w:r>
    </w:p>
    <w:p w:rsidR="00F436B0" w:rsidRPr="00F436B0" w:rsidRDefault="00F436B0" w:rsidP="00F436B0">
      <w:pPr>
        <w:spacing w:before="105" w:after="120" w:line="240" w:lineRule="auto"/>
        <w:jc w:val="center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b/>
          <w:bCs/>
          <w:color w:val="292420"/>
          <w:sz w:val="28"/>
          <w:szCs w:val="28"/>
          <w:lang w:eastAsia="ru-RU"/>
        </w:rPr>
        <w:t>Парламентское право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95.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Представительная власть 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96.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Система представительных органов публичной власти 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97.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Парламент и парламентаризм в современной России.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98.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Формы политического влияния на принятие парламентских решений 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99.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Парламентское право России: проблемы выделения.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100.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Правотворческие полномочия в сфере регулирования парламентской деятельности в Российской Федерации. 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101.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Источники российского парламентского права.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102.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Правовые позиции Конституционного Суда РФ в сфере парламентской деятельности.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103.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Правовое положение Государственной Думы Федерального Собрания 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104.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Правовое положение Совета Федерации Федерального Собрания 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105.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Формы и порядок работы палат Федерального Собрания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106.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Конституционно-правовая ответственность в парламентских отношениях.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107.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Законодательный (представительный) орган субъекта Российской Федерации: правовое положение.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108.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Функции и полномочия законодательных (представительных) органов государственной власти субъектов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109.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Формы и порядок работы законодательных (представительных) органов субъектов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lastRenderedPageBreak/>
        <w:t>110.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Ответственность законодательных (представительных) органов субъектов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111.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Политико-правовая природа мандата депутата.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112.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Гарантии деятельности депутата.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113.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Ограничения, связанные с деятельностью парламентария.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114.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Конституционно-правовые вопросы ответственности парламентария.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115.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Правовое положение депутата Государственной Думы Федерального Собрания.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116.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Правовое положение члена Совета Федерации Федерального Собрания.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117.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Законодательная компетенция Российской Федерации, субъектов Российской Федерации, их соотношение.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118.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Законодательная компетенция Федерального Собрания и законодательных (представительных) органов государственной власти субъектов РФ.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119.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Законодательный процесс в Российской Федерации и в субъектах РФ: понятие, участники.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120.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Стадии федерального законодательного процесса в Российской Федерации. 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121.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Экспертиза в федеральном законодательном процессе.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122.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Правовое закрепление правил законодательной техники 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123.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Закон (законопроект) как документ.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124.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Законодательная инициатива в федеральном законодательном процессе.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125.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Пленарное рассмотрение проектов федеральных законов в Государственной Думе Федерального Собрания.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126.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Порядок прохождения федеральных законов в Совете Федерации Федерального Собрания.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127.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 xml:space="preserve">Законотворческие полномочия Президента РФ. 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128.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Особенности рассмотрения законопроектов (законов) и принятия законов при конфликтах между субъектами законодательного процесса.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129.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Пересмотр Конституции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lastRenderedPageBreak/>
        <w:t>130.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Особенности принятия отдельных видов федеральных законов.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131.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Законодательство о правовых актах и законодательном процессе 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132.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Особенности рассмотрения законопроектов (законов) в двухпалатном законодательном органе субъекта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133.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Парламентский контроль: понятие, формы.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134.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Институт парламентского расследования в Российской Федерации.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135.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Осуществление парламентского контроля Счетной палаты РФ.</w:t>
      </w:r>
    </w:p>
    <w:p w:rsidR="00F436B0" w:rsidRPr="00F436B0" w:rsidRDefault="00F436B0" w:rsidP="00F436B0">
      <w:pPr>
        <w:spacing w:before="105" w:after="120" w:line="240" w:lineRule="auto"/>
        <w:jc w:val="center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b/>
          <w:bCs/>
          <w:color w:val="292420"/>
          <w:sz w:val="18"/>
          <w:szCs w:val="18"/>
          <w:lang w:eastAsia="ru-RU"/>
        </w:rPr>
        <w:t> 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.</w:t>
      </w:r>
      <w:r w:rsidRPr="00F436B0">
        <w:rPr>
          <w:rFonts w:ascii="Tahoma" w:eastAsia="Times New Roman" w:hAnsi="Tahoma" w:cs="Tahoma"/>
          <w:b/>
          <w:bCs/>
          <w:color w:val="292420"/>
          <w:sz w:val="28"/>
          <w:szCs w:val="28"/>
          <w:lang w:eastAsia="ru-RU"/>
        </w:rPr>
        <w:t xml:space="preserve"> Административное право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244.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Государственное управление как вид государственной деятельности.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245.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Предмет, область и сфера административно-правового регулирования.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246.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Административно-правовые нормы и отношения.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247.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Субъекты административного права.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248.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Административно-правовой статус Президента РФ.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249.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Органы исполнительной власти (государственного управления)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250.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Административно-правовой статус органов местного самоуправления.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251.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Административно-правовой статус государственных служащих.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252.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Формы и методы управленческой деятельности.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253.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Административное принуждение и административная ответственность.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254.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Организационно-правовые способы обеспечения законности и дисциплины.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255.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Административно-правовое регулирование в области экономики.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256.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Административно-правовое регулирование в социально-культурной области.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lastRenderedPageBreak/>
        <w:t>257.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Административно-правовое регулирование в сфере национальной безопасности.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258.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Административно-правовое регулирование в сфере охраны общественного порядка.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259.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Административно-правовое регулирование в сфере юстиции.</w:t>
      </w:r>
    </w:p>
    <w:p w:rsidR="00F436B0" w:rsidRPr="00F436B0" w:rsidRDefault="00F436B0" w:rsidP="00F436B0">
      <w:pPr>
        <w:spacing w:before="105" w:after="120" w:line="240" w:lineRule="auto"/>
        <w:ind w:firstLine="720"/>
        <w:jc w:val="both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260.</w:t>
      </w:r>
      <w:r w:rsidRPr="00F436B0">
        <w:rPr>
          <w:rFonts w:ascii="Times New Roman" w:eastAsia="Times New Roman" w:hAnsi="Times New Roman" w:cs="Times New Roman"/>
          <w:color w:val="292420"/>
          <w:sz w:val="14"/>
          <w:szCs w:val="14"/>
          <w:lang w:eastAsia="ru-RU"/>
        </w:rPr>
        <w:t xml:space="preserve">       </w:t>
      </w:r>
      <w:r w:rsidRPr="00F436B0">
        <w:rPr>
          <w:rFonts w:ascii="Tahoma" w:eastAsia="Times New Roman" w:hAnsi="Tahoma" w:cs="Tahoma"/>
          <w:color w:val="292420"/>
          <w:sz w:val="28"/>
          <w:szCs w:val="28"/>
          <w:lang w:eastAsia="ru-RU"/>
        </w:rPr>
        <w:t>Административно-правовое регулирование в сфере таможенного дела.</w:t>
      </w:r>
    </w:p>
    <w:p w:rsidR="00F436B0" w:rsidRPr="00F436B0" w:rsidRDefault="00F436B0" w:rsidP="00F436B0">
      <w:pPr>
        <w:spacing w:before="105" w:after="120" w:line="240" w:lineRule="auto"/>
        <w:ind w:firstLine="720"/>
        <w:rPr>
          <w:rFonts w:ascii="Tahoma" w:eastAsia="Times New Roman" w:hAnsi="Tahoma" w:cs="Tahoma"/>
          <w:color w:val="292420"/>
          <w:sz w:val="18"/>
          <w:szCs w:val="18"/>
          <w:lang w:eastAsia="ru-RU"/>
        </w:rPr>
      </w:pPr>
      <w:r w:rsidRPr="00F436B0">
        <w:rPr>
          <w:rFonts w:ascii="Tahoma" w:eastAsia="Times New Roman" w:hAnsi="Tahoma" w:cs="Tahoma"/>
          <w:color w:val="292420"/>
          <w:sz w:val="18"/>
          <w:szCs w:val="18"/>
          <w:lang w:eastAsia="ru-RU"/>
        </w:rPr>
        <w:t> </w:t>
      </w:r>
    </w:p>
    <w:sectPr w:rsidR="00F436B0" w:rsidRPr="00F4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B0"/>
    <w:rsid w:val="00B6316C"/>
    <w:rsid w:val="00B825A4"/>
    <w:rsid w:val="00EC12C1"/>
    <w:rsid w:val="00EC5489"/>
    <w:rsid w:val="00F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876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7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4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6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9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5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5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4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9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7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5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1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6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2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4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5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7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4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0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0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6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4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0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1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5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0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1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7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2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8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6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4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955">
              <w:marLeft w:val="0"/>
              <w:marRight w:val="27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4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9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3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8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3612">
              <w:marLeft w:val="0"/>
              <w:marRight w:val="1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7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7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1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3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71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9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2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1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6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4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0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7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93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6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3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9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4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8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5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9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5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3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4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4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8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1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4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0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1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7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5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2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6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4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5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0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5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7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0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3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7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8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7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2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0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9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5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4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8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0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8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90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0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5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6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46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9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0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9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2013-10-04T07:56:00Z</dcterms:created>
  <dcterms:modified xsi:type="dcterms:W3CDTF">2013-10-05T08:59:00Z</dcterms:modified>
</cp:coreProperties>
</file>